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t>Kézvédelem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kézvédő eszközök közé az egyujjas, a két- és a háromujjas kesztyűk, valamint az ötujjas kesz</w:t>
        <w:softHyphen/>
        <w:t>tyűk, a tenyér-, a kar- és az alkarvédők, a csuklószorítók, az érmelegítők, és az ujj-, a vállvédők tartoznak.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védőkesztyűk kiválasztásánál követendő szempontok: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veszély és ártalom típusa és mértéke, különös tekintettel azok egyidejű jelenlétére,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kézben tartott tárgy formája és mérete esetleg anyaga, felülete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munkavégzés közben tett mozdulatok jellege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környezet hatása.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legjellemzőbb veszélyek a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mechanikai hatások, ezen belül a szúró, vágó, dör</w:t>
        <w:softHyphen/>
        <w:t>zsölő és koptató hatás,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különféle vegyi hatások, így a savak, lúgok, maró anyagok, zsírok, olajok, szerves oldószerek, alkoholok, mérgek,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szélsőséges hőhatások sugárzó és kontakt formában,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rezgések,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villamos jelenségek, így az áramütés, az ívhatás, a sztatikus feltöltődés,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valamint a biológiai tényezők.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kézvédelem egyéni védőeszközökre vonatkozó legfontosabb szabványok: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38"/>
        <w:gridCol w:w="7511"/>
      </w:tblGrid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száma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megnevezése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374-1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Védőkesztyűk vegyszerek és mikroorganizmusok ellen. 1.rész: fogalom-meghatározások és teljesítmény követelmények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374-2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Védőkesztyűk vegyszerek és mikroorganizmusok ellen. 2.rész:a behatolási ellenállás meghatározása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374-3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Védőkesztyűk vegyszerek és mikroorganizmusok ellen. 3.rész: a vegyszerek átbocsátásával szembeni ellenállás meghatározása</w:t>
              <w:br/>
              <w:t>vizsgálati követelményei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388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Védőkesztyűk mechanikai kockázatok ellen.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407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Termikus kockázatok (hő és/vagy tűz) ellen védő kesztyűk.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420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Védőkesztyű. Általános követelmények és vizsgálati módszerek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60903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Feszültség alatti munkavégzés. Szigetelő anyagú kesztyűk (IEC 60903:2002 2003. évi helyesbítés, módosítva)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Valamennyi kesztyűnek biztosítani kell a kéz mozgásképességét!</w:t>
        <w:br/>
        <w:t>A bőrből készült termékek nem moshatók, vegyileg nem tisztíthatók!</w:t>
        <w:br/>
        <w:t>Az egy darabból készített védőeszközt soha nem szabad megtoldani!</w:t>
        <w:br/>
        <w:t>Késvágás- és szúrás ellen az ötujjas húsipari lánckesztyű alkalmas!</w:t>
        <w:br/>
        <w:t>Vegyi oldatba merített tárgyakhoz hosszú szárú, vegyszerálló védőkesztyűt kell viselni!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d04424"/>
    <w:rPr/>
  </w:style>
  <w:style w:type="character" w:styleId="LlbChar" w:customStyle="1">
    <w:name w:val="Élőláb Char"/>
    <w:basedOn w:val="DefaultParagraphFont"/>
    <w:link w:val="llb"/>
    <w:uiPriority w:val="99"/>
    <w:qFormat/>
    <w:rsid w:val="00d04424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d0442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d0442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273</Words>
  <Characters>1792</Characters>
  <CharactersWithSpaces>2024</CharactersWithSpaces>
  <Paragraphs>33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2018-11-07T14:13:00Z</dcterms:created>
  <dc:creator>Bodor, Máté</dc:creator>
  <dc:description/>
  <dc:language>en-US</dc:language>
  <cp:lastModifiedBy/>
  <dcterms:modified xsi:type="dcterms:W3CDTF">2018-11-19T10:33:09Z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